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100" w:beforeAutospacing="1" w:after="100" w:afterAutospacing="1" w:line="240" w:lineRule="auto"/>
        <w:jc w:val="center"/>
        <w:rPr>
          <w:rFonts w:ascii="Times New Roman" w:eastAsia="Calibri" w:hAnsi="Times New Roman" w:cs="Times New Roman"/>
          <w:b/>
          <w:bCs/>
          <w:sz w:val="28"/>
          <w:szCs w:val="28"/>
          <w:lang w:bidi="fa-IR"/>
        </w:rPr>
      </w:pPr>
      <w:r>
        <w:rPr>
          <w:rFonts w:ascii="Times New Roman" w:eastAsia="Calibri" w:hAnsi="Times New Roman" w:cs="Times New Roman"/>
          <w:b/>
          <w:bCs/>
          <w:sz w:val="28"/>
          <w:szCs w:val="28"/>
          <w:lang w:bidi="fa-IR"/>
        </w:rPr>
        <w:t>(Title of paper in font Times New Roman 14pt in bold)</w:t>
      </w:r>
    </w:p>
    <w:p>
      <w:pPr>
        <w:spacing w:before="100" w:beforeAutospacing="1" w:after="100" w:afterAutospacing="1" w:line="240"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First author, second author … (corresponding author is specified by *, font Times New         Roman 12pt in bold)</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r>
        <w:rPr>
          <w:rFonts w:ascii="Times New Roman" w:eastAsia="Calibri" w:hAnsi="Times New Roman" w:cs="Times New Roman"/>
          <w:lang w:bidi="fa-IR"/>
        </w:rPr>
        <w:t>Academic rank, main specialty, department, faculty, university \ research institute - e-mail address (Times New Roman 11pt)</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bookmarkStart w:id="0" w:name="OLE_LINK9"/>
      <w:bookmarkStart w:id="1" w:name="OLE_LINK10"/>
      <w:r>
        <w:rPr>
          <w:rFonts w:ascii="Times New Roman" w:eastAsia="Calibri" w:hAnsi="Times New Roman" w:cs="Times New Roman"/>
          <w:lang w:bidi="fa-IR"/>
        </w:rPr>
        <w:t>Academic rank, main specialty, department, faculty, university \ research institute - e-mail address (Times New Roman 11pt)</w:t>
      </w:r>
    </w:p>
    <w:p>
      <w:pPr>
        <w:spacing w:after="0" w:line="240" w:lineRule="auto"/>
        <w:contextualSpacing/>
        <w:jc w:val="center"/>
        <w:rPr>
          <w:rFonts w:ascii="Times New Roman" w:eastAsia="Calibri" w:hAnsi="Times New Roman" w:cs="Times New Roman"/>
          <w:b/>
          <w:bCs/>
          <w:lang w:bidi="fa-IR"/>
        </w:rPr>
      </w:pPr>
      <w:r>
        <w:rPr>
          <w:rFonts w:ascii="Times New Roman" w:eastAsia="Calibri" w:hAnsi="Times New Roman" w:cs="Times New Roman"/>
          <w:b/>
          <w:bCs/>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before="120" w:after="120"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The full paper should have the following main components in order:</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Introduction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Materials and Methods</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Results and Discussion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Conclusion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References</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 (in Persian)</w:t>
      </w:r>
    </w:p>
    <w:bookmarkEnd w:id="0"/>
    <w:bookmarkEnd w:id="1"/>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Introduction and Objectives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This section should include information regarding the background of the study, justification of the research importance, and the objectives of the investigation. The introduction should contain the statement of the problem, the significance and necessity of the research, and references to previous studies. At the end of this section, the objective or objectives of the conducted research should be clearly stated in one sentence or paragraph.</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Materials and Methods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This section should be described clearly and precisely. If the research method has been adopted from another source, only the reference citation is sufficient. It is necessary to briefly describe the study area, location and time of the experiment, sampling methods, materials and instruments used, experimental design, measurement methods, and statistical analysis procedures.</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Findings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All quantitative and qualitative results of the research should be presented with reference to tables and figures (graphs, curves, images or photographs, and maps) at the end of the article.</w:t>
      </w:r>
      <w:bookmarkStart w:id="2" w:name="_GoBack"/>
      <w:bookmarkEnd w:id="2"/>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b/>
          <w:bCs/>
          <w:lang w:bidi="fa-IR"/>
        </w:rPr>
        <w:lastRenderedPageBreak/>
        <w:t>Keywords</w:t>
      </w:r>
      <w:r>
        <w:rPr>
          <w:rFonts w:ascii="Times New Roman" w:eastAsia="Calibri" w:hAnsi="Times New Roman" w:cs="Times New Roman"/>
          <w:lang w:bidi="fa-IR"/>
        </w:rPr>
        <w:t xml:space="preserve">. </w:t>
      </w:r>
      <w:r>
        <w:rPr>
          <w:rFonts w:ascii="Times New Roman" w:eastAsia="Calibri" w:hAnsi="Times New Roman" w:cs="Times New Roman"/>
          <w:lang w:bidi="fa-IR"/>
        </w:rPr>
        <w:t xml:space="preserve">A minimum of 5 and a maximum of 6 keywords should be provided in one line, separated by commas, and arranged alphabetically. (B </w:t>
      </w:r>
      <w:proofErr w:type="spellStart"/>
      <w:r>
        <w:rPr>
          <w:rFonts w:ascii="Times New Roman" w:eastAsia="Calibri" w:hAnsi="Times New Roman" w:cs="Times New Roman"/>
          <w:lang w:bidi="fa-IR"/>
        </w:rPr>
        <w:t>Nazanin</w:t>
      </w:r>
      <w:proofErr w:type="spellEnd"/>
      <w:r>
        <w:rPr>
          <w:rFonts w:ascii="Times New Roman" w:eastAsia="Calibri" w:hAnsi="Times New Roman" w:cs="Times New Roman"/>
          <w:lang w:bidi="fa-IR"/>
        </w:rPr>
        <w:t xml:space="preserve"> 11 </w:t>
      </w:r>
      <w:proofErr w:type="spellStart"/>
      <w:r>
        <w:rPr>
          <w:rFonts w:ascii="Times New Roman" w:eastAsia="Calibri" w:hAnsi="Times New Roman" w:cs="Times New Roman"/>
          <w:lang w:bidi="fa-IR"/>
        </w:rPr>
        <w:t>pt</w:t>
      </w:r>
      <w:proofErr w:type="spellEnd"/>
      <w:r>
        <w:rPr>
          <w:rFonts w:ascii="Times New Roman" w:eastAsia="Calibri" w:hAnsi="Times New Roman" w:cs="Times New Roman"/>
          <w:lang w:bidi="fa-IR"/>
        </w:rPr>
        <w:t>)</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Guidelines for Writing an Extended Abstract</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Extended Abstract</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Introduction and Objectives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Wheat (</w:t>
      </w:r>
      <w:proofErr w:type="spellStart"/>
      <w:r>
        <w:rPr>
          <w:rFonts w:ascii="Times New Roman" w:eastAsia="Calibri" w:hAnsi="Times New Roman" w:cs="Times New Roman"/>
          <w:lang w:bidi="fa-IR"/>
        </w:rPr>
        <w:t>Triticum</w:t>
      </w:r>
      <w:proofErr w:type="spellEnd"/>
      <w:r>
        <w:rPr>
          <w:rFonts w:ascii="Times New Roman" w:eastAsia="Calibri" w:hAnsi="Times New Roman" w:cs="Times New Roman"/>
          <w:lang w:bidi="fa-IR"/>
        </w:rPr>
        <w:t xml:space="preserve"> </w:t>
      </w:r>
      <w:proofErr w:type="spellStart"/>
      <w:r>
        <w:rPr>
          <w:rFonts w:ascii="Times New Roman" w:eastAsia="Calibri" w:hAnsi="Times New Roman" w:cs="Times New Roman"/>
          <w:lang w:bidi="fa-IR"/>
        </w:rPr>
        <w:t>aestivum</w:t>
      </w:r>
      <w:proofErr w:type="spellEnd"/>
      <w:r>
        <w:rPr>
          <w:rFonts w:ascii="Times New Roman" w:eastAsia="Calibri" w:hAnsi="Times New Roman" w:cs="Times New Roman"/>
          <w:lang w:bidi="fa-IR"/>
        </w:rPr>
        <w:t xml:space="preserve"> L.) is considered the most important crop plant and the staple food for nearly three-quarters of the world’s population. Therefore, investigating the genetic diversity of this strategic crop can assist plant breeders in identifying the actual genetic potential and capacity of traits related to breeding objectives, including grain yield and yield components. Knowledge of the differences among various wheat genotypes and the relationship of these differences with their potential performance is highly essential for improving and advancing the productivity of newly developed cultivars.</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Materials and Methods: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In order to identify desirable wheat genotypes, the genetic diversity of grain yield, yield components, and genotype interactions in 21 promising wheat lines were evaluated based on 14 important agronomic traits using a randomized complete block design (RCBD) along with two important commercial cultivars of the region (</w:t>
      </w:r>
      <w:proofErr w:type="spellStart"/>
      <w:r>
        <w:rPr>
          <w:rFonts w:ascii="Times New Roman" w:eastAsia="Calibri" w:hAnsi="Times New Roman" w:cs="Times New Roman"/>
          <w:lang w:bidi="fa-IR"/>
        </w:rPr>
        <w:t>Tirgan</w:t>
      </w:r>
      <w:proofErr w:type="spellEnd"/>
      <w:r>
        <w:rPr>
          <w:rFonts w:ascii="Times New Roman" w:eastAsia="Calibri" w:hAnsi="Times New Roman" w:cs="Times New Roman"/>
          <w:lang w:bidi="fa-IR"/>
        </w:rPr>
        <w:t xml:space="preserve"> and </w:t>
      </w:r>
      <w:proofErr w:type="spellStart"/>
      <w:r>
        <w:rPr>
          <w:rFonts w:ascii="Times New Roman" w:eastAsia="Calibri" w:hAnsi="Times New Roman" w:cs="Times New Roman"/>
          <w:lang w:bidi="fa-IR"/>
        </w:rPr>
        <w:t>Kalateh</w:t>
      </w:r>
      <w:proofErr w:type="spellEnd"/>
      <w:r>
        <w:rPr>
          <w:rFonts w:ascii="Times New Roman" w:eastAsia="Calibri" w:hAnsi="Times New Roman" w:cs="Times New Roman"/>
          <w:lang w:bidi="fa-IR"/>
        </w:rPr>
        <w:t>) as controls, with three replications at the Agricultural Research Station of the Ardabil Agricultural and Natural Resources Research and Education Center (</w:t>
      </w:r>
      <w:proofErr w:type="spellStart"/>
      <w:r>
        <w:rPr>
          <w:rFonts w:ascii="Times New Roman" w:eastAsia="Calibri" w:hAnsi="Times New Roman" w:cs="Times New Roman"/>
          <w:lang w:bidi="fa-IR"/>
        </w:rPr>
        <w:t>Moghan</w:t>
      </w:r>
      <w:proofErr w:type="spellEnd"/>
      <w:r>
        <w:rPr>
          <w:rFonts w:ascii="Times New Roman" w:eastAsia="Calibri" w:hAnsi="Times New Roman" w:cs="Times New Roman"/>
          <w:lang w:bidi="fa-IR"/>
        </w:rPr>
        <w:t>). Among the available methods for diversity assessment, multivariate analysis is considered one of the most important and widely used approaches.</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Findings: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The results of the analysis of variance at the 0.01 and 0.05 probability levels indicated that the studied wheat lines showed significant differences for all traits except the number of grains per spike. Duncan’s multiple range test also revealed that lines G17 and G15 were selected as desirable lines for all measured traits, whereas lines G3 and G19 exhibited the lowest rankings. Correlation analysis demonstrated that grain yield had a positive and significant correlation with all evaluated traits except tiller number, peduncle length, and number of grains per spike. Based on principal component analysis, the first five principal components explained more than 75% of the total variance in the data. According to the grouping diagram based on the first and second principal components, the lines were classified into four groups. Furthermore, graphical analysis of line ranking indicated that promising wheat lines G15 and G17 exhibited superior performance compared to the other studied lines for the evaluated traits, while line G4 was identified as the most stable genotype in terms of trait stability. The polygon diagram also identified lines G15, G17, G18, G23, G6, G10, and G12 as desirable genotypes. Based on the ideal genotype ranking diagram, G15 and G17 were recognized as the top-ranked lines.</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lastRenderedPageBreak/>
        <w:t>Conclusion:</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 xml:space="preserve">The high-yielding lines and other </w:t>
      </w:r>
      <w:proofErr w:type="spellStart"/>
      <w:r>
        <w:rPr>
          <w:rFonts w:ascii="Times New Roman" w:eastAsia="Calibri" w:hAnsi="Times New Roman" w:cs="Times New Roman"/>
          <w:lang w:bidi="fa-IR"/>
        </w:rPr>
        <w:t>agronomically</w:t>
      </w:r>
      <w:proofErr w:type="spellEnd"/>
      <w:r>
        <w:rPr>
          <w:rFonts w:ascii="Times New Roman" w:eastAsia="Calibri" w:hAnsi="Times New Roman" w:cs="Times New Roman"/>
          <w:lang w:bidi="fa-IR"/>
        </w:rPr>
        <w:t xml:space="preserve"> desirable genotypes identified in this study can be utilized in developing superior populations adapted to the warm and humid climatic conditions of northern regions of the country.</w:t>
      </w:r>
    </w:p>
    <w:p>
      <w:pPr>
        <w:spacing w:before="100" w:beforeAutospacing="1" w:after="100" w:afterAutospacing="1" w:line="240" w:lineRule="auto"/>
        <w:rPr>
          <w:rFonts w:ascii="Times New Roman" w:eastAsia="Calibri" w:hAnsi="Times New Roman" w:cs="Times New Roman"/>
          <w:lang w:bidi="fa-IR"/>
        </w:rPr>
      </w:pPr>
      <w:r>
        <w:rPr>
          <w:rFonts w:ascii="Times New Roman" w:eastAsia="Calibri" w:hAnsi="Times New Roman" w:cs="Times New Roman"/>
          <w:b/>
          <w:bCs/>
          <w:lang w:bidi="fa-IR"/>
        </w:rPr>
        <w:t>Keywords:</w:t>
      </w:r>
      <w:r>
        <w:rPr>
          <w:rFonts w:ascii="Times New Roman" w:eastAsia="Calibri" w:hAnsi="Times New Roman" w:cs="Times New Roman"/>
          <w:lang w:bidi="fa-IR"/>
        </w:rPr>
        <w:t xml:space="preserve"> Correlation analysis, grain yield, graphical analysis, principal component analysis</w:t>
      </w:r>
    </w:p>
    <w:p>
      <w:pPr>
        <w:spacing w:before="100" w:beforeAutospacing="1" w:after="100" w:afterAutospacing="1" w:line="240" w:lineRule="auto"/>
        <w:rPr>
          <w:rFonts w:ascii="Times New Roman" w:eastAsia="Calibri" w:hAnsi="Times New Roman" w:cs="Times New Roman"/>
          <w:b/>
          <w:bCs/>
          <w:lang w:bidi="fa-IR"/>
        </w:rPr>
      </w:pPr>
      <w:r>
        <w:rPr>
          <w:rFonts w:ascii="Times New Roman" w:eastAsia="Calibri" w:hAnsi="Times New Roman" w:cs="Times New Roman"/>
          <w:b/>
          <w:bCs/>
          <w:lang w:bidi="fa-IR"/>
        </w:rPr>
        <w:t>Figures and Tables</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All figures and tables should be placed within the main text of the article and positioned as close as possible to their first citation in the text, centered on the page. Figures must be of sufficient clarity and high quality. Letters, symbols, and captions should be selected in sizes that are clear, legible, and distinguishable. If a figure is presented as a graph, the exact title of each axis and the corresponding units must be clearly indicated.</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 xml:space="preserve">Each figure and table must have an independent consecutive number and must be referred to within the text. In addition, every figure and table should have a separate title written in bold font (B </w:t>
      </w:r>
      <w:proofErr w:type="spellStart"/>
      <w:r>
        <w:rPr>
          <w:rFonts w:ascii="Times New Roman" w:eastAsia="Calibri" w:hAnsi="Times New Roman" w:cs="Times New Roman"/>
          <w:lang w:bidi="fa-IR"/>
        </w:rPr>
        <w:t>Nazanin</w:t>
      </w:r>
      <w:proofErr w:type="spellEnd"/>
      <w:r>
        <w:rPr>
          <w:rFonts w:ascii="Times New Roman" w:eastAsia="Calibri" w:hAnsi="Times New Roman" w:cs="Times New Roman"/>
          <w:lang w:bidi="fa-IR"/>
        </w:rPr>
        <w:t xml:space="preserve"> 10 </w:t>
      </w:r>
      <w:proofErr w:type="spellStart"/>
      <w:r>
        <w:rPr>
          <w:rFonts w:ascii="Times New Roman" w:eastAsia="Calibri" w:hAnsi="Times New Roman" w:cs="Times New Roman"/>
          <w:lang w:bidi="fa-IR"/>
        </w:rPr>
        <w:t>pt</w:t>
      </w:r>
      <w:proofErr w:type="spellEnd"/>
      <w:r>
        <w:rPr>
          <w:rFonts w:ascii="Times New Roman" w:eastAsia="Calibri" w:hAnsi="Times New Roman" w:cs="Times New Roman"/>
          <w:lang w:bidi="fa-IR"/>
        </w:rPr>
        <w:t>), placed below the figure and above the table.</w:t>
      </w:r>
    </w:p>
    <w:p>
      <w:pPr>
        <w:spacing w:before="100" w:beforeAutospacing="1" w:after="100" w:afterAutospacing="1" w:line="240" w:lineRule="auto"/>
        <w:jc w:val="both"/>
        <w:rPr>
          <w:rFonts w:ascii="Times New Roman" w:eastAsia="Calibri" w:hAnsi="Times New Roman" w:cs="Times New Roman"/>
          <w:lang w:bidi="fa-IR"/>
        </w:rPr>
      </w:pPr>
      <w:r>
        <w:rPr>
          <w:rFonts w:ascii="Times New Roman" w:eastAsia="Calibri" w:hAnsi="Times New Roman" w:cs="Times New Roman"/>
          <w:lang w:bidi="fa-IR"/>
        </w:rPr>
        <w:t>If a figure or table is not the result of the current study and has been adapted from another reference, the reference number must be mentioned at the end of the title inside brackets. As an example, reference can be made to Table 1 and Figure 1.</w:t>
      </w:r>
    </w:p>
    <w:p>
      <w:pPr>
        <w:spacing w:before="100" w:beforeAutospacing="1" w:after="100" w:afterAutospacing="1" w:line="240" w:lineRule="auto"/>
        <w:jc w:val="center"/>
        <w:rPr>
          <w:rFonts w:ascii="Times New Roman" w:eastAsia="Calibri" w:hAnsi="Times New Roman" w:cs="Times New Roman"/>
          <w:lang w:bidi="fa-IR"/>
        </w:rPr>
      </w:pPr>
      <w:r>
        <w:rPr>
          <w:rFonts w:ascii="Times New Roman" w:eastAsia="Calibri" w:hAnsi="Times New Roman" w:cs="Times New Roman"/>
          <w:b/>
          <w:bCs/>
          <w:sz w:val="20"/>
          <w:szCs w:val="20"/>
          <w:lang w:bidi="fa-IR"/>
        </w:rPr>
        <w:t xml:space="preserve">Table 1- Populations of </w:t>
      </w:r>
      <w:proofErr w:type="spellStart"/>
      <w:r>
        <w:rPr>
          <w:rFonts w:ascii="Times New Roman" w:eastAsia="Calibri" w:hAnsi="Times New Roman" w:cs="Times New Roman"/>
          <w:b/>
          <w:bCs/>
          <w:i/>
          <w:iCs/>
          <w:sz w:val="20"/>
          <w:szCs w:val="20"/>
          <w:lang w:bidi="fa-IR"/>
        </w:rPr>
        <w:t>Trichoderma</w:t>
      </w:r>
      <w:proofErr w:type="spellEnd"/>
      <w:r>
        <w:rPr>
          <w:rFonts w:ascii="Times New Roman" w:eastAsia="Calibri" w:hAnsi="Times New Roman" w:cs="Times New Roman"/>
          <w:b/>
          <w:bCs/>
          <w:i/>
          <w:iCs/>
          <w:sz w:val="20"/>
          <w:szCs w:val="20"/>
          <w:lang w:bidi="fa-IR"/>
        </w:rPr>
        <w:t xml:space="preserve"> </w:t>
      </w:r>
      <w:proofErr w:type="spellStart"/>
      <w:r>
        <w:rPr>
          <w:rFonts w:ascii="Times New Roman" w:eastAsia="Calibri" w:hAnsi="Times New Roman" w:cs="Times New Roman"/>
          <w:b/>
          <w:bCs/>
          <w:i/>
          <w:iCs/>
          <w:sz w:val="20"/>
          <w:szCs w:val="20"/>
          <w:lang w:bidi="fa-IR"/>
        </w:rPr>
        <w:t>harzianum</w:t>
      </w:r>
      <w:proofErr w:type="spellEnd"/>
      <w:r>
        <w:rPr>
          <w:rFonts w:ascii="Times New Roman" w:eastAsia="Calibri" w:hAnsi="Times New Roman" w:cs="Times New Roman"/>
          <w:b/>
          <w:bCs/>
          <w:sz w:val="20"/>
          <w:szCs w:val="20"/>
          <w:lang w:bidi="fa-IR"/>
        </w:rPr>
        <w:t xml:space="preserve"> isolate T22, recovered from rhizosphere soil of hairy vetch plants after final harvest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67"/>
      </w:tblGrid>
      <w:tr>
        <w:trPr>
          <w:jc w:val="center"/>
        </w:trPr>
        <w:tc>
          <w:tcPr>
            <w:tcW w:w="2667" w:type="pct"/>
            <w:tcBorders>
              <w:top w:val="single" w:sz="4" w:space="0" w:color="auto"/>
              <w:bottom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Treatment combinations</w:t>
            </w:r>
            <w:r>
              <w:rPr>
                <w:rFonts w:ascii="Times New Roman" w:eastAsia="Calibri" w:hAnsi="Times New Roman" w:cs="Times New Roman"/>
                <w:b/>
                <w:bCs/>
                <w:sz w:val="20"/>
                <w:szCs w:val="20"/>
                <w:vertAlign w:val="superscript"/>
                <w:lang w:bidi="fa-IR"/>
              </w:rPr>
              <w:t>§</w:t>
            </w:r>
          </w:p>
        </w:tc>
        <w:tc>
          <w:tcPr>
            <w:tcW w:w="2333" w:type="pct"/>
            <w:tcBorders>
              <w:top w:val="single" w:sz="4" w:space="0" w:color="auto"/>
              <w:bottom w:val="single" w:sz="4" w:space="0" w:color="auto"/>
            </w:tcBorders>
            <w:vAlign w:val="center"/>
          </w:tcPr>
          <w:p>
            <w:pPr>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Mean population</w:t>
            </w:r>
            <w:r>
              <w:rPr>
                <w:rFonts w:ascii="Times New Roman" w:eastAsia="Calibri" w:hAnsi="Times New Roman" w:cs="Times New Roman"/>
                <w:b/>
                <w:bCs/>
                <w:sz w:val="20"/>
                <w:szCs w:val="20"/>
                <w:vertAlign w:val="superscript"/>
                <w:lang w:bidi="fa-IR"/>
              </w:rPr>
              <w:t>¶</w:t>
            </w:r>
          </w:p>
          <w:p>
            <w:pPr>
              <w:jc w:val="center"/>
              <w:rPr>
                <w:rFonts w:ascii="Times New Roman" w:eastAsia="Calibri" w:hAnsi="Times New Roman" w:cs="Times New Roman"/>
                <w:sz w:val="20"/>
                <w:szCs w:val="20"/>
                <w:lang w:bidi="fa-IR"/>
              </w:rPr>
            </w:pPr>
            <w:r>
              <w:rPr>
                <w:rFonts w:ascii="Times New Roman" w:eastAsia="Calibri" w:hAnsi="Times New Roman" w:cs="Times New Roman"/>
                <w:sz w:val="20"/>
                <w:szCs w:val="20"/>
                <w:lang w:bidi="fa-IR"/>
              </w:rPr>
              <w:t>(Log CFU/g fresh root)</w:t>
            </w:r>
          </w:p>
        </w:tc>
      </w:tr>
      <w:tr>
        <w:trPr>
          <w:jc w:val="center"/>
        </w:trPr>
        <w:tc>
          <w:tcPr>
            <w:tcW w:w="2667" w:type="pct"/>
            <w:tcBorders>
              <w:top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0P (control)</w:t>
            </w:r>
          </w:p>
        </w:tc>
        <w:tc>
          <w:tcPr>
            <w:tcW w:w="2333" w:type="pct"/>
            <w:tcBorders>
              <w:top w:val="single" w:sz="4" w:space="0" w:color="auto"/>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4.15 ± 0.32 c</w:t>
            </w:r>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11P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4.35 ± 0.69 c</w:t>
            </w:r>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22P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4.90 ± 0.44 </w:t>
            </w:r>
            <w:proofErr w:type="spellStart"/>
            <w:r>
              <w:rPr>
                <w:rFonts w:ascii="Times New Roman" w:eastAsia="Calibri" w:hAnsi="Times New Roman" w:cs="Times New Roman"/>
                <w:sz w:val="20"/>
                <w:szCs w:val="20"/>
              </w:rPr>
              <w:t>bc</w:t>
            </w:r>
            <w:proofErr w:type="spellEnd"/>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B-0P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5.26 ± 0.94 b</w:t>
            </w:r>
          </w:p>
        </w:tc>
      </w:tr>
      <w:tr>
        <w:trPr>
          <w:jc w:val="center"/>
        </w:trPr>
        <w:tc>
          <w:tcPr>
            <w:tcW w:w="2667" w:type="pct"/>
            <w:tcBorders>
              <w:bottom w:val="nil"/>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B-11P</w:t>
            </w:r>
          </w:p>
        </w:tc>
        <w:tc>
          <w:tcPr>
            <w:tcW w:w="2333" w:type="pct"/>
            <w:tcBorders>
              <w:bottom w:val="nil"/>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6.24 ± 0.79 a</w:t>
            </w:r>
          </w:p>
        </w:tc>
      </w:tr>
      <w:tr>
        <w:trPr>
          <w:jc w:val="center"/>
        </w:trPr>
        <w:tc>
          <w:tcPr>
            <w:tcW w:w="2667" w:type="pct"/>
            <w:tcBorders>
              <w:top w:val="nil"/>
              <w:bottom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B-22P</w:t>
            </w:r>
          </w:p>
        </w:tc>
        <w:tc>
          <w:tcPr>
            <w:tcW w:w="2333" w:type="pct"/>
            <w:tcBorders>
              <w:top w:val="nil"/>
              <w:bottom w:val="single" w:sz="4" w:space="0" w:color="auto"/>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6.10 ± 0.28 a</w:t>
            </w:r>
          </w:p>
        </w:tc>
      </w:tr>
    </w:tbl>
    <w:p>
      <w:pPr>
        <w:spacing w:after="0" w:line="240" w:lineRule="auto"/>
        <w:ind w:left="113" w:hanging="113"/>
        <w:jc w:val="both"/>
        <w:rPr>
          <w:rFonts w:ascii="Times New Roman" w:eastAsia="Calibri" w:hAnsi="Times New Roman" w:cs="Times New Roman"/>
          <w:sz w:val="20"/>
          <w:szCs w:val="20"/>
          <w:lang w:bidi="fa-IR"/>
        </w:rPr>
      </w:pPr>
      <w:r>
        <w:rPr>
          <w:rFonts w:ascii="Times New Roman" w:eastAsia="Calibri" w:hAnsi="Times New Roman" w:cs="Times New Roman"/>
          <w:sz w:val="20"/>
          <w:szCs w:val="20"/>
          <w:vertAlign w:val="superscript"/>
          <w:lang w:bidi="fa-IR"/>
        </w:rPr>
        <w:t>§</w:t>
      </w:r>
      <w:r>
        <w:rPr>
          <w:rFonts w:ascii="Times New Roman" w:eastAsia="Calibri" w:hAnsi="Times New Roman" w:cs="Times New Roman"/>
          <w:sz w:val="20"/>
          <w:szCs w:val="20"/>
          <w:lang w:bidi="fa-IR"/>
        </w:rPr>
        <w:t xml:space="preserve"> Three levels of P supplementation without and with </w:t>
      </w:r>
      <w:proofErr w:type="spellStart"/>
      <w:r>
        <w:rPr>
          <w:rFonts w:ascii="Times New Roman" w:eastAsia="Calibri" w:hAnsi="Times New Roman" w:cs="Times New Roman"/>
          <w:sz w:val="20"/>
          <w:szCs w:val="20"/>
          <w:lang w:bidi="fa-IR"/>
        </w:rPr>
        <w:t>biochar</w:t>
      </w:r>
      <w:proofErr w:type="spellEnd"/>
      <w:r>
        <w:rPr>
          <w:rFonts w:ascii="Times New Roman" w:eastAsia="Calibri" w:hAnsi="Times New Roman" w:cs="Times New Roman"/>
          <w:sz w:val="20"/>
          <w:szCs w:val="20"/>
          <w:lang w:bidi="fa-IR"/>
        </w:rPr>
        <w:t xml:space="preserve"> application assigned as [0P, 11P and 22P] and [B-0P, B-11P and B-22P], respectively.</w:t>
      </w:r>
    </w:p>
    <w:p>
      <w:pPr>
        <w:spacing w:after="0" w:line="240" w:lineRule="auto"/>
        <w:ind w:left="113" w:hanging="113"/>
        <w:jc w:val="both"/>
        <w:rPr>
          <w:rFonts w:ascii="Times New Roman" w:eastAsia="Calibri" w:hAnsi="Times New Roman" w:cs="Times New Roman"/>
          <w:sz w:val="20"/>
          <w:szCs w:val="20"/>
        </w:rPr>
      </w:pPr>
      <w:r>
        <w:rPr>
          <w:rFonts w:ascii="Times New Roman" w:eastAsia="Calibri" w:hAnsi="Times New Roman" w:cs="Times New Roman"/>
          <w:b/>
          <w:bCs/>
          <w:sz w:val="20"/>
          <w:szCs w:val="20"/>
          <w:vertAlign w:val="superscript"/>
          <w:lang w:bidi="fa-IR"/>
        </w:rPr>
        <w:t>¶</w:t>
      </w:r>
      <w:r>
        <w:rPr>
          <w:rFonts w:ascii="Times New Roman" w:eastAsia="Calibri" w:hAnsi="Times New Roman" w:cs="Times New Roman"/>
          <w:sz w:val="20"/>
          <w:szCs w:val="20"/>
        </w:rPr>
        <w:t xml:space="preserve"> </w:t>
      </w:r>
      <w:r>
        <w:rPr>
          <w:rFonts w:ascii="Times New Roman" w:eastAsia="Calibri" w:hAnsi="Times New Roman" w:cs="Times New Roman"/>
          <w:sz w:val="20"/>
          <w:szCs w:val="20"/>
          <w:lang w:bidi="fa-IR"/>
        </w:rPr>
        <w:t xml:space="preserve">Data represent the average of three replicates (n= 3) ± standard error. </w:t>
      </w:r>
      <w:r>
        <w:rPr>
          <w:rFonts w:ascii="Times New Roman" w:eastAsia="Calibri" w:hAnsi="Times New Roman" w:cs="Times New Roman"/>
          <w:sz w:val="20"/>
          <w:szCs w:val="20"/>
        </w:rPr>
        <w:t>Means followed by the same letter are not significantly different according to Fisher’s protected LSD (P≤ 0.05).</w:t>
      </w:r>
    </w:p>
    <w:p>
      <w:pPr>
        <w:spacing w:before="100" w:beforeAutospacing="1" w:after="100" w:afterAutospacing="1" w:line="240" w:lineRule="auto"/>
        <w:jc w:val="center"/>
        <w:rPr>
          <w:rFonts w:ascii="Times New Roman" w:eastAsia="Calibri" w:hAnsi="Times New Roman" w:cs="Times New Roman"/>
          <w:b/>
          <w:bCs/>
          <w:sz w:val="20"/>
          <w:szCs w:val="20"/>
          <w:lang w:bidi="fa-IR"/>
        </w:rPr>
      </w:pPr>
      <w:r>
        <w:rPr>
          <w:rFonts w:ascii="Calibri" w:eastAsia="Calibri" w:hAnsi="Calibri" w:cs="Arial"/>
          <w:noProof/>
          <w:lang w:bidi="fa-IR"/>
        </w:rPr>
        <w:lastRenderedPageBreak/>
        <w:drawing>
          <wp:inline distT="0" distB="0" distL="0" distR="0">
            <wp:extent cx="6332220" cy="429044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2220" cy="4290447"/>
                    </a:xfrm>
                    <a:prstGeom prst="rect">
                      <a:avLst/>
                    </a:prstGeom>
                    <a:noFill/>
                    <a:ln>
                      <a:noFill/>
                    </a:ln>
                  </pic:spPr>
                </pic:pic>
              </a:graphicData>
            </a:graphic>
          </wp:inline>
        </w:drawing>
      </w:r>
    </w:p>
    <w:p>
      <w:pPr>
        <w:spacing w:before="100" w:beforeAutospacing="1" w:after="100" w:afterAutospacing="1"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lang w:bidi="fa-IR"/>
        </w:rPr>
        <w:t xml:space="preserve">Fig. 1- Effects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and </w:t>
      </w:r>
      <w:proofErr w:type="spellStart"/>
      <w:r>
        <w:rPr>
          <w:rFonts w:ascii="Times New Roman" w:eastAsia="Calibri" w:hAnsi="Times New Roman" w:cs="Times New Roman"/>
          <w:b/>
          <w:bCs/>
          <w:i/>
          <w:iCs/>
          <w:sz w:val="20"/>
          <w:szCs w:val="20"/>
          <w:lang w:bidi="fa-IR"/>
        </w:rPr>
        <w:t>Trichoderma</w:t>
      </w:r>
      <w:proofErr w:type="spellEnd"/>
      <w:r>
        <w:rPr>
          <w:rFonts w:ascii="Times New Roman" w:eastAsia="Calibri" w:hAnsi="Times New Roman" w:cs="Times New Roman"/>
          <w:b/>
          <w:bCs/>
          <w:i/>
          <w:iCs/>
          <w:sz w:val="20"/>
          <w:szCs w:val="20"/>
          <w:lang w:bidi="fa-IR"/>
        </w:rPr>
        <w:t xml:space="preserve"> </w:t>
      </w:r>
      <w:r>
        <w:rPr>
          <w:rFonts w:ascii="Times New Roman" w:eastAsia="Calibri" w:hAnsi="Times New Roman" w:cs="Times New Roman"/>
          <w:b/>
          <w:bCs/>
          <w:sz w:val="20"/>
          <w:szCs w:val="20"/>
          <w:lang w:bidi="fa-IR"/>
        </w:rPr>
        <w:t xml:space="preserve">on root volume, leaf MDA content (A) and CAT and POX activity (B). Effects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and P supplementation on POX activity (C) and soil Olsen-P (D). Means ± S.E. </w:t>
      </w:r>
      <w:r>
        <w:rPr>
          <w:rFonts w:ascii="Times New Roman" w:eastAsia="Calibri" w:hAnsi="Times New Roman" w:cs="Times New Roman"/>
          <w:b/>
          <w:bCs/>
          <w:sz w:val="20"/>
          <w:szCs w:val="20"/>
        </w:rPr>
        <w:t xml:space="preserve">Columns followed by the same letter are not significantly different according to Fisher’s protected LSD (P≤ 0.05). NS, * and ** denote non-significant and significant at 5 and 1% levels, respectively. CV represents coefficient of variation.  </w:t>
      </w:r>
      <w:r>
        <w:rPr>
          <w:rFonts w:ascii="Times New Roman" w:eastAsia="Calibri" w:hAnsi="Times New Roman" w:cs="Times New Roman"/>
          <w:b/>
          <w:bCs/>
          <w:i/>
          <w:iCs/>
          <w:sz w:val="20"/>
          <w:szCs w:val="20"/>
        </w:rPr>
        <w:t>MDA</w:t>
      </w:r>
      <w:r>
        <w:rPr>
          <w:rFonts w:ascii="Times New Roman" w:eastAsia="Calibri" w:hAnsi="Times New Roman" w:cs="Times New Roman"/>
          <w:b/>
          <w:bCs/>
          <w:sz w:val="20"/>
          <w:szCs w:val="20"/>
        </w:rPr>
        <w:t xml:space="preserve"> </w:t>
      </w:r>
      <w:proofErr w:type="spellStart"/>
      <w:r>
        <w:rPr>
          <w:rFonts w:ascii="Times New Roman" w:eastAsia="Calibri" w:hAnsi="Times New Roman" w:cs="Times New Roman"/>
          <w:b/>
          <w:bCs/>
          <w:sz w:val="20"/>
          <w:szCs w:val="20"/>
        </w:rPr>
        <w:t>malondialdehyde</w:t>
      </w:r>
      <w:proofErr w:type="spellEnd"/>
      <w:r>
        <w:rPr>
          <w:rFonts w:ascii="Times New Roman" w:eastAsia="Calibri" w:hAnsi="Times New Roman" w:cs="Times New Roman"/>
          <w:b/>
          <w:bCs/>
          <w:sz w:val="20"/>
          <w:szCs w:val="20"/>
        </w:rPr>
        <w:t xml:space="preserve">; </w:t>
      </w:r>
      <w:r>
        <w:rPr>
          <w:rFonts w:ascii="Times New Roman" w:eastAsia="Calibri" w:hAnsi="Times New Roman" w:cs="Times New Roman"/>
          <w:b/>
          <w:bCs/>
          <w:i/>
          <w:iCs/>
          <w:sz w:val="20"/>
          <w:szCs w:val="20"/>
        </w:rPr>
        <w:t>CAT</w:t>
      </w:r>
      <w:r>
        <w:rPr>
          <w:rFonts w:ascii="Times New Roman" w:eastAsia="Calibri" w:hAnsi="Times New Roman" w:cs="Times New Roman"/>
          <w:b/>
          <w:bCs/>
          <w:sz w:val="20"/>
          <w:szCs w:val="20"/>
        </w:rPr>
        <w:t xml:space="preserve"> catalase; </w:t>
      </w:r>
      <w:r>
        <w:rPr>
          <w:rFonts w:ascii="Times New Roman" w:eastAsia="Calibri" w:hAnsi="Times New Roman" w:cs="Times New Roman"/>
          <w:b/>
          <w:bCs/>
          <w:i/>
          <w:iCs/>
          <w:sz w:val="20"/>
          <w:szCs w:val="20"/>
        </w:rPr>
        <w:t>POX</w:t>
      </w:r>
      <w:r>
        <w:rPr>
          <w:rFonts w:ascii="Times New Roman" w:eastAsia="Calibri" w:hAnsi="Times New Roman" w:cs="Times New Roman"/>
          <w:b/>
          <w:bCs/>
          <w:sz w:val="20"/>
          <w:szCs w:val="20"/>
        </w:rPr>
        <w:t xml:space="preserve"> peroxidase; </w:t>
      </w:r>
      <w:r>
        <w:rPr>
          <w:rFonts w:ascii="Times New Roman" w:eastAsia="Calibri" w:hAnsi="Times New Roman" w:cs="Times New Roman"/>
          <w:b/>
          <w:bCs/>
          <w:i/>
          <w:iCs/>
          <w:sz w:val="20"/>
          <w:szCs w:val="20"/>
        </w:rPr>
        <w:t>FW</w:t>
      </w:r>
      <w:r>
        <w:rPr>
          <w:rFonts w:ascii="Times New Roman" w:eastAsia="Calibri" w:hAnsi="Times New Roman" w:cs="Times New Roman"/>
          <w:b/>
          <w:bCs/>
          <w:sz w:val="20"/>
          <w:szCs w:val="20"/>
        </w:rPr>
        <w:t xml:space="preserve"> fresh weight</w:t>
      </w:r>
    </w:p>
    <w:p>
      <w:pPr>
        <w:spacing w:before="100" w:beforeAutospacing="1" w:after="100" w:afterAutospacing="1" w:line="240" w:lineRule="auto"/>
        <w:jc w:val="center"/>
        <w:rPr>
          <w:rFonts w:ascii="Calibri" w:eastAsia="Calibri" w:hAnsi="Calibri" w:cs="Arial"/>
          <w:lang w:bidi="fa-IR"/>
        </w:rPr>
      </w:pPr>
    </w:p>
    <w:p>
      <w:pPr>
        <w:spacing w:before="100" w:beforeAutospacing="1" w:after="100" w:afterAutospacing="1" w:line="240" w:lineRule="auto"/>
        <w:jc w:val="both"/>
        <w:rPr>
          <w:rFonts w:ascii="Calibri" w:eastAsia="Calibri" w:hAnsi="Calibri" w:cs="Arial"/>
          <w:lang w:bidi="fa-IR"/>
        </w:rPr>
      </w:pPr>
      <w:r>
        <w:rPr>
          <w:rFonts w:ascii="Calibri" w:eastAsia="Calibri" w:hAnsi="Calibri" w:cs="Arial"/>
          <w:noProof/>
          <w:lang w:bidi="fa-IR"/>
        </w:rPr>
        <w:lastRenderedPageBreak/>
        <w:drawing>
          <wp:inline distT="0" distB="0" distL="0" distR="0">
            <wp:extent cx="1676400" cy="1806789"/>
            <wp:effectExtent l="0" t="0" r="0" b="3175"/>
            <wp:docPr id="7" name="Picture 7" descr="Phenom prox - Azaruniv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enom prox - Azaruniv00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9552" cy="1810186"/>
                    </a:xfrm>
                    <a:prstGeom prst="rect">
                      <a:avLst/>
                    </a:prstGeom>
                    <a:noFill/>
                    <a:ln>
                      <a:noFill/>
                    </a:ln>
                  </pic:spPr>
                </pic:pic>
              </a:graphicData>
            </a:graphic>
          </wp:inline>
        </w:drawing>
      </w:r>
      <w:r>
        <w:rPr>
          <w:rFonts w:ascii="Calibri" w:eastAsia="Calibri" w:hAnsi="Calibri" w:cs="Arial"/>
          <w:noProof/>
          <w:lang w:bidi="fa-IR"/>
        </w:rPr>
        <w:drawing>
          <wp:inline distT="0" distB="0" distL="0" distR="0">
            <wp:extent cx="4081463" cy="1632585"/>
            <wp:effectExtent l="0" t="0" r="0" b="5715"/>
            <wp:docPr id="8" name="1. region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gion (spectrum)"/>
                    <pic:cNvPicPr/>
                  </pic:nvPicPr>
                  <pic:blipFill>
                    <a:blip r:embed="rId10" cstate="print"/>
                    <a:stretch>
                      <a:fillRect/>
                    </a:stretch>
                  </pic:blipFill>
                  <pic:spPr>
                    <a:xfrm>
                      <a:off x="0" y="0"/>
                      <a:ext cx="4083343" cy="1633337"/>
                    </a:xfrm>
                    <a:prstGeom prst="rect">
                      <a:avLst/>
                    </a:prstGeom>
                  </pic:spPr>
                </pic:pic>
              </a:graphicData>
            </a:graphic>
          </wp:inline>
        </w:drawing>
      </w:r>
    </w:p>
    <w:p>
      <w:pPr>
        <w:spacing w:before="100" w:beforeAutospacing="1" w:after="100" w:afterAutospacing="1" w:line="240" w:lineRule="auto"/>
        <w:jc w:val="center"/>
        <w:rPr>
          <w:rFonts w:ascii="Times New Roman" w:eastAsia="Times New Roman" w:hAnsi="Times New Roman" w:cs="B Nazanin"/>
          <w:b/>
          <w:bCs/>
          <w:noProof/>
          <w:sz w:val="18"/>
          <w:szCs w:val="20"/>
          <w:rtl/>
          <w:lang w:bidi="fa-IR"/>
        </w:rPr>
      </w:pPr>
      <w:r>
        <w:rPr>
          <w:rFonts w:ascii="Times New Roman" w:eastAsia="Calibri" w:hAnsi="Times New Roman" w:cs="Times New Roman"/>
          <w:b/>
          <w:bCs/>
          <w:sz w:val="20"/>
          <w:szCs w:val="20"/>
          <w:lang w:bidi="fa-IR"/>
        </w:rPr>
        <w:t xml:space="preserve">Fig. 2- SEM - EDX analysis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sample prepared from peanut hulls</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5. Units</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Standard units SI system is the only acceptable system for the scheme of the issues. Note that the units for the amounts listed in tables and axes titles in shapes should not be forgotten.</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6. Footnotes</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If using footnotes is inevitable, use the font </w:t>
      </w:r>
      <w:r>
        <w:rPr>
          <w:rFonts w:ascii="Times New Roman" w:eastAsia="Calibri" w:hAnsi="Times New Roman" w:cs="Times New Roman"/>
          <w:sz w:val="24"/>
          <w:szCs w:val="24"/>
          <w:u w:val="single"/>
          <w:lang w:bidi="fa-IR"/>
        </w:rPr>
        <w:t>Times New Roman 10pt</w:t>
      </w:r>
      <w:r>
        <w:rPr>
          <w:rFonts w:ascii="Times New Roman" w:eastAsia="Calibri" w:hAnsi="Times New Roman" w:cs="Times New Roman"/>
          <w:sz w:val="24"/>
          <w:szCs w:val="24"/>
          <w:lang w:bidi="fa-IR"/>
        </w:rPr>
        <w:t>.</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7. Conclusion section</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Each Paper should be provided with a summary of the research results presented in the article at the end of the context as the conclusion section. Possible recommendations are also presented in this section.</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8. Acknowledgement (optional)</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If necessary, a brief appreciation can be mentioned before the list of references.</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lastRenderedPageBreak/>
        <w:t>References</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The reference list section is the last part of the article, which is not assigned a title number. References and sources are given in alphabetical order in this section. Mentioning of each reference in the text is based on author-year system. The font size used for Persian references (B </w:t>
      </w:r>
      <w:proofErr w:type="spellStart"/>
      <w:r>
        <w:rPr>
          <w:rFonts w:ascii="Times New Roman" w:eastAsia="Calibri" w:hAnsi="Times New Roman" w:cs="Times New Roman"/>
          <w:sz w:val="24"/>
          <w:szCs w:val="24"/>
          <w:lang w:bidi="fa-IR"/>
        </w:rPr>
        <w:t>Nazanin</w:t>
      </w:r>
      <w:proofErr w:type="spellEnd"/>
      <w:r>
        <w:rPr>
          <w:rFonts w:ascii="Times New Roman" w:eastAsia="Calibri" w:hAnsi="Times New Roman" w:cs="Times New Roman"/>
          <w:sz w:val="24"/>
          <w:szCs w:val="24"/>
          <w:lang w:bidi="fa-IR"/>
        </w:rPr>
        <w:t xml:space="preserve"> 11pt) and for English references will be the same as other parts of the article with a smaller size (Times New Roman 10pt). After typing each reference, a space of 6 </w:t>
      </w:r>
      <w:proofErr w:type="spellStart"/>
      <w:r>
        <w:rPr>
          <w:rFonts w:ascii="Times New Roman" w:eastAsia="Calibri" w:hAnsi="Times New Roman" w:cs="Times New Roman"/>
          <w:sz w:val="24"/>
          <w:szCs w:val="24"/>
          <w:lang w:bidi="fa-IR"/>
        </w:rPr>
        <w:t>pt</w:t>
      </w:r>
      <w:proofErr w:type="spellEnd"/>
      <w:r>
        <w:rPr>
          <w:rFonts w:ascii="Times New Roman" w:eastAsia="Calibri" w:hAnsi="Times New Roman" w:cs="Times New Roman"/>
          <w:sz w:val="24"/>
          <w:szCs w:val="24"/>
          <w:lang w:bidi="fa-IR"/>
        </w:rPr>
        <w:t xml:space="preserve"> with the next reference is required. The specifications of each reference must be presented in a complete and standard manner according to the </w:t>
      </w:r>
      <w:r>
        <w:rPr>
          <w:rFonts w:ascii="Times New Roman" w:eastAsia="Calibri" w:hAnsi="Times New Roman" w:cs="Times New Roman"/>
          <w:sz w:val="24"/>
          <w:szCs w:val="24"/>
          <w:u w:val="single"/>
          <w:lang w:bidi="fa-IR"/>
        </w:rPr>
        <w:t>APA sixth edition style</w:t>
      </w:r>
      <w:r>
        <w:rPr>
          <w:rFonts w:ascii="Times New Roman" w:eastAsia="Calibri" w:hAnsi="Times New Roman" w:cs="Times New Roman"/>
          <w:sz w:val="24"/>
          <w:szCs w:val="24"/>
          <w:lang w:bidi="fa-IR"/>
        </w:rPr>
        <w:t xml:space="preserve"> (available in the References menu in Word version 2013).</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For example:</w:t>
      </w:r>
    </w:p>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DOE, (2022, June 10). </w:t>
      </w:r>
      <w:r>
        <w:rPr>
          <w:rFonts w:ascii="Times New Roman" w:eastAsia="Calibri" w:hAnsi="Times New Roman" w:cs="Times New Roman"/>
          <w:i/>
          <w:iCs/>
          <w:noProof/>
          <w:sz w:val="20"/>
          <w:szCs w:val="20"/>
        </w:rPr>
        <w:t>Permissible limits of soil pollution and pollutants entering it (According to the soil protection law)</w:t>
      </w:r>
      <w:r>
        <w:rPr>
          <w:rFonts w:ascii="Times New Roman" w:eastAsia="Calibri" w:hAnsi="Times New Roman" w:cs="Times New Roman"/>
          <w:noProof/>
          <w:sz w:val="20"/>
          <w:szCs w:val="20"/>
        </w:rPr>
        <w:t>. Organizational standards. Retrieved July 30, 2020, from https://wsm.doe.ir/portal/home/?673823</w:t>
      </w:r>
    </w:p>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 xml:space="preserve">Friedlova, M. (2010). The influence of heavy metals on soil biological and chemical properties. </w:t>
      </w:r>
      <w:r>
        <w:rPr>
          <w:rFonts w:ascii="Times New Roman" w:eastAsia="Calibri" w:hAnsi="Times New Roman" w:cs="Times New Roman"/>
          <w:i/>
          <w:iCs/>
          <w:noProof/>
          <w:sz w:val="20"/>
          <w:szCs w:val="20"/>
        </w:rPr>
        <w:t>Soil and Water Research, 5</w:t>
      </w:r>
      <w:r>
        <w:rPr>
          <w:rFonts w:ascii="Times New Roman" w:eastAsia="Calibri" w:hAnsi="Times New Roman" w:cs="Times New Roman"/>
          <w:noProof/>
          <w:sz w:val="20"/>
          <w:szCs w:val="20"/>
        </w:rPr>
        <w:t>(1), 21-27. doi:10.17221/11/2009-SWR</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Ghosh, P., &amp; Das, S. P. (2022). Unraveling a dynamic ameliorant of heavy metal-polluted soil: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In R. T. Kapoor, &amp; M. P. Shah, </w:t>
      </w:r>
      <w:proofErr w:type="spellStart"/>
      <w:r>
        <w:rPr>
          <w:rFonts w:asciiTheme="majorBidi" w:eastAsia="Calibri" w:hAnsiTheme="majorBidi" w:cstheme="majorBidi"/>
          <w:i/>
          <w:iCs/>
          <w:sz w:val="20"/>
          <w:szCs w:val="20"/>
          <w:lang w:bidi="fa-IR"/>
        </w:rPr>
        <w:t>Biochar</w:t>
      </w:r>
      <w:proofErr w:type="spellEnd"/>
      <w:r>
        <w:rPr>
          <w:rFonts w:asciiTheme="majorBidi" w:eastAsia="Calibri" w:hAnsiTheme="majorBidi" w:cstheme="majorBidi"/>
          <w:i/>
          <w:iCs/>
          <w:sz w:val="20"/>
          <w:szCs w:val="20"/>
          <w:lang w:bidi="fa-IR"/>
        </w:rPr>
        <w:t>: Applications for bioremediation of contaminated systems</w:t>
      </w:r>
      <w:r>
        <w:rPr>
          <w:rFonts w:asciiTheme="majorBidi" w:eastAsia="Calibri" w:hAnsiTheme="majorBidi" w:cstheme="majorBidi"/>
          <w:sz w:val="20"/>
          <w:szCs w:val="20"/>
          <w:lang w:bidi="fa-IR"/>
        </w:rPr>
        <w:t xml:space="preserve"> (pp. 163-184). Berlin: Walter de </w:t>
      </w:r>
      <w:proofErr w:type="spellStart"/>
      <w:r>
        <w:rPr>
          <w:rFonts w:asciiTheme="majorBidi" w:eastAsia="Calibri" w:hAnsiTheme="majorBidi" w:cstheme="majorBidi"/>
          <w:sz w:val="20"/>
          <w:szCs w:val="20"/>
          <w:lang w:bidi="fa-IR"/>
        </w:rPr>
        <w:t>Gruyter</w:t>
      </w:r>
      <w:proofErr w:type="spellEnd"/>
      <w:r>
        <w:rPr>
          <w:rFonts w:asciiTheme="majorBidi" w:eastAsia="Calibri" w:hAnsiTheme="majorBidi" w:cstheme="majorBidi"/>
          <w:sz w:val="20"/>
          <w:szCs w:val="20"/>
          <w:lang w:bidi="fa-IR"/>
        </w:rPr>
        <w:t xml:space="preserve"> GmbH &amp; Co KG.</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Gonzaga, M., de Jesus Santos, J., </w:t>
      </w:r>
      <w:proofErr w:type="spellStart"/>
      <w:r>
        <w:rPr>
          <w:rFonts w:asciiTheme="majorBidi" w:eastAsia="Calibri" w:hAnsiTheme="majorBidi" w:cstheme="majorBidi"/>
          <w:sz w:val="20"/>
          <w:szCs w:val="20"/>
          <w:lang w:bidi="fa-IR"/>
        </w:rPr>
        <w:t>Ganassali</w:t>
      </w:r>
      <w:proofErr w:type="spellEnd"/>
      <w:r>
        <w:rPr>
          <w:rFonts w:asciiTheme="majorBidi" w:eastAsia="Calibri" w:hAnsiTheme="majorBidi" w:cstheme="majorBidi"/>
          <w:sz w:val="20"/>
          <w:szCs w:val="20"/>
          <w:lang w:bidi="fa-IR"/>
        </w:rPr>
        <w:t xml:space="preserve"> Junior, L., </w:t>
      </w:r>
      <w:proofErr w:type="spellStart"/>
      <w:r>
        <w:rPr>
          <w:rFonts w:asciiTheme="majorBidi" w:eastAsia="Calibri" w:hAnsiTheme="majorBidi" w:cstheme="majorBidi"/>
          <w:sz w:val="20"/>
          <w:szCs w:val="20"/>
          <w:lang w:bidi="fa-IR"/>
        </w:rPr>
        <w:t>Fontes</w:t>
      </w:r>
      <w:proofErr w:type="spellEnd"/>
      <w:r>
        <w:rPr>
          <w:rFonts w:asciiTheme="majorBidi" w:eastAsia="Calibri" w:hAnsiTheme="majorBidi" w:cstheme="majorBidi"/>
          <w:sz w:val="20"/>
          <w:szCs w:val="20"/>
          <w:lang w:bidi="fa-IR"/>
        </w:rPr>
        <w:t xml:space="preserve">, P., A. J., &amp; Gonzaga, T. (2022). Copper uptake, physiological response, and phytoremediation potential of </w:t>
      </w:r>
      <w:r>
        <w:rPr>
          <w:rFonts w:asciiTheme="majorBidi" w:eastAsia="Calibri" w:hAnsiTheme="majorBidi" w:cstheme="majorBidi"/>
          <w:i/>
          <w:iCs/>
          <w:sz w:val="20"/>
          <w:szCs w:val="20"/>
          <w:lang w:bidi="fa-IR"/>
        </w:rPr>
        <w:t xml:space="preserve">Brassica </w:t>
      </w:r>
      <w:proofErr w:type="spellStart"/>
      <w:r>
        <w:rPr>
          <w:rFonts w:asciiTheme="majorBidi" w:eastAsia="Calibri" w:hAnsiTheme="majorBidi" w:cstheme="majorBidi"/>
          <w:i/>
          <w:iCs/>
          <w:sz w:val="20"/>
          <w:szCs w:val="20"/>
          <w:lang w:bidi="fa-IR"/>
        </w:rPr>
        <w:t>juncea</w:t>
      </w:r>
      <w:proofErr w:type="spellEnd"/>
      <w:r>
        <w:rPr>
          <w:rFonts w:asciiTheme="majorBidi" w:eastAsia="Calibri" w:hAnsiTheme="majorBidi" w:cstheme="majorBidi"/>
          <w:sz w:val="20"/>
          <w:szCs w:val="20"/>
          <w:lang w:bidi="fa-IR"/>
        </w:rPr>
        <w:t xml:space="preserve"> under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application. </w:t>
      </w:r>
      <w:r>
        <w:rPr>
          <w:rFonts w:asciiTheme="majorBidi" w:eastAsia="Calibri" w:hAnsiTheme="majorBidi" w:cstheme="majorBidi"/>
          <w:i/>
          <w:iCs/>
          <w:sz w:val="20"/>
          <w:szCs w:val="20"/>
          <w:lang w:bidi="fa-IR"/>
        </w:rPr>
        <w:t>International Journal of Phytoremediation, 24</w:t>
      </w:r>
      <w:r>
        <w:rPr>
          <w:rFonts w:asciiTheme="majorBidi" w:eastAsia="Calibri" w:hAnsiTheme="majorBidi" w:cstheme="majorBidi"/>
          <w:sz w:val="20"/>
          <w:szCs w:val="20"/>
          <w:lang w:bidi="fa-IR"/>
        </w:rPr>
        <w:t>(5), 474-482. doi:10.1080/15226514.2021.1954875</w:t>
      </w:r>
    </w:p>
    <w:p>
      <w:pPr>
        <w:bidi/>
        <w:rPr>
          <w:rFonts w:hint="cs"/>
          <w:rtl/>
          <w:lang w:bidi="fa-IR"/>
        </w:rPr>
      </w:pPr>
    </w:p>
    <w:sectPr>
      <w:headerReference w:type="default" r:id="rId11"/>
      <w:pgSz w:w="11906" w:h="16838"/>
      <w:pgMar w:top="1794" w:right="1985"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bidi="fa-IR"/>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72375" cy="1895475"/>
          <wp:effectExtent l="0" t="0" r="9525" b="9525"/>
          <wp:wrapThrough wrapText="bothSides">
            <wp:wrapPolygon edited="0">
              <wp:start x="0" y="0"/>
              <wp:lineTo x="0" y="21491"/>
              <wp:lineTo x="21573" y="21491"/>
              <wp:lineTo x="215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723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860D2"/>
    <w:multiLevelType w:val="hybridMultilevel"/>
    <w:tmpl w:val="2374933A"/>
    <w:lvl w:ilvl="0" w:tplc="DCDA2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B58E0"/>
    <w:multiLevelType w:val="hybridMultilevel"/>
    <w:tmpl w:val="C3063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83E21"/>
    <w:multiLevelType w:val="hybridMultilevel"/>
    <w:tmpl w:val="86666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A71F9F-C394-794F-953A-C181BF5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customStyle="1" w:styleId="TableGrid1">
    <w:name w:val="Table Grid1"/>
    <w:basedOn w:val="TableNormal"/>
    <w:next w:val="TableGrid"/>
    <w:uiPriority w:val="39"/>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جوا97</b:Tag>
    <b:SourceType>JournalArticle</b:SourceType>
    <b:Guid>{B56E24FF-459C-4289-AE36-0E61AA882EDF}</b:Guid>
    <b:Title>بررسی مقاومت به تنش شوری در بذرهای حاصل از بوته‌های گوجه فرنگی محلول پاشی شده با ۲۴- اپی براسینولید و نانواکسید روی</b:Title>
    <b:Year>1397</b:Year>
    <b:LCID>fa-IR</b:LCID>
    <b:JournalName>فرآیند و کارکرد گیاهی</b:JournalName>
    <b:Pages>103-120</b:Pages>
    <b:Author>
      <b:Author>
        <b:NameList>
          <b:Person>
            <b:Last>جوادی</b:Last>
            <b:First>ا.</b:First>
          </b:Person>
          <b:Person>
            <b:Last>خماری</b:Last>
            <b:First>س.</b:First>
          </b:Person>
          <b:Person>
            <b:Last>اسماعیل پور</b:Last>
            <b:First>ب.</b:First>
          </b:Person>
          <b:Person>
            <b:Last>اصغری</b:Last>
            <b:First>ع.</b:First>
          </b:Person>
        </b:NameList>
      </b:Author>
    </b:Author>
    <b:Volume>7</b:Volume>
    <b:Issue>24</b:Issue>
    <b:RefOrder>2</b:RefOrder>
  </b:Source>
  <b:Source>
    <b:Tag>سید93</b:Tag>
    <b:SourceType>Book</b:SourceType>
    <b:Guid>{5DE43CA3-F56D-4433-9B48-40F899C483F8}</b:Guid>
    <b:Title>زراعت گیاهان علوفه ای</b:Title>
    <b:Year>1393</b:Year>
    <b:Pages>595</b:Pages>
    <b:City>اردبیل</b:City>
    <b:Publisher>انتشارات دانشگاه محقق اردبیلی</b:Publisher>
    <b:LCID>fa-IR</b:LCID>
    <b:Author>
      <b:Author>
        <b:NameList>
          <b:Person>
            <b:Last>سیدشریفی</b:Last>
            <b:First>ر.</b:First>
          </b:Person>
          <b:Person>
            <b:Last>حکم علی پور</b:Last>
            <b:First>س.</b:First>
          </b:Person>
        </b:NameList>
      </b:Author>
    </b:Author>
    <b:RefOrder>3</b:RefOrder>
  </b:Source>
  <b:Source>
    <b:Tag>اصغ00</b:Tag>
    <b:SourceType>ConferenceProceedings</b:SourceType>
    <b:Guid>{E8A12F18-7702-439C-A186-F3B68852E8E5}</b:Guid>
    <b:Title>تاثیر کاربرد انواع بیوچار و قارچ تریکودرما بر رشد ریشه و فعالیت آنزیم کاتالاز گیاهچه اسپرس رشد یافته در خاک حاوی فلزات سنگین</b:Title>
    <b:Year>1400</b:Year>
    <b:City>کرمان</b:City>
    <b:Publisher>دانشگاه شهید باهنر کرمان</b:Publisher>
    <b:Pages>5</b:Pages>
    <b:ConferenceName>هفدهمین کنگره ملی و سومین کنگره بین المللی علوم زراعت و اصلاح نباتات ایران</b:ConferenceName>
    <b:Author>
      <b:Author>
        <b:NameList>
          <b:Person>
            <b:Last>اصغری</b:Last>
            <b:First>م.ر.</b:First>
          </b:Person>
          <b:Person>
            <b:Last>خماری</b:Last>
            <b:First>س.</b:First>
          </b:Person>
          <b:Person>
            <b:Last>داوری</b:Last>
            <b:First>م.</b:First>
          </b:Person>
        </b:NameList>
      </b:Author>
    </b:Author>
    <b:LCID>fa-IR</b:LCID>
    <b:URL>https://civilica.com/doc/1419028</b:URL>
    <b:RefOrder>1</b:RefOrder>
  </b:Source>
</b:Sources>
</file>

<file path=customXml/itemProps1.xml><?xml version="1.0" encoding="utf-8"?>
<ds:datastoreItem xmlns:ds="http://schemas.openxmlformats.org/officeDocument/2006/customXml" ds:itemID="{40E1266F-11F9-4BCC-8D45-6D431F7A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Rasoulzadeh</dc:creator>
  <cp:keywords/>
  <dc:description/>
  <cp:lastModifiedBy>NBe</cp:lastModifiedBy>
  <cp:revision>4</cp:revision>
  <dcterms:created xsi:type="dcterms:W3CDTF">2026-05-17T06:39:00Z</dcterms:created>
  <dcterms:modified xsi:type="dcterms:W3CDTF">2026-05-29T16:29:00Z</dcterms:modified>
</cp:coreProperties>
</file>